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422B3D">
        <w:rPr>
          <w:b/>
          <w:color w:val="FFFFFF" w:themeColor="background1"/>
          <w:sz w:val="52"/>
        </w:rPr>
        <w:t>BYSTRÉ-ROKYTNÍK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1610" cy="4898390"/>
            <wp:effectExtent l="19050" t="19050" r="21590" b="16510"/>
            <wp:wrapTight wrapText="bothSides">
              <wp:wrapPolygon edited="0">
                <wp:start x="-63" y="-84"/>
                <wp:lineTo x="-63" y="21589"/>
                <wp:lineTo x="21608" y="21589"/>
                <wp:lineTo x="21608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1610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422B3D">
        <w:rPr>
          <w:b/>
          <w:color w:val="FFFFFF" w:themeColor="background1"/>
          <w:sz w:val="36"/>
        </w:rPr>
        <w:t>7</w:t>
      </w:r>
      <w:r w:rsidR="00110F9F">
        <w:rPr>
          <w:b/>
          <w:color w:val="FFFFFF" w:themeColor="background1"/>
          <w:sz w:val="36"/>
        </w:rPr>
        <w:tab/>
      </w:r>
    </w:p>
    <w:p w:rsidR="008962D5" w:rsidRDefault="008962D5" w:rsidP="00422B3D">
      <w:pPr>
        <w:spacing w:after="0"/>
        <w:rPr>
          <w:b/>
          <w:color w:val="FFFFFF" w:themeColor="background1"/>
          <w:sz w:val="36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422B3D" w:rsidP="00CB0303">
            <w:pPr>
              <w:rPr>
                <w:color w:val="000000" w:themeColor="text1"/>
              </w:rPr>
            </w:pPr>
            <w:r w:rsidRPr="00422B3D">
              <w:t>1257</w:t>
            </w:r>
            <w: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422B3D" w:rsidP="00CB0303">
            <w:pPr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Hronov (469 ha), Stárkov (788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422B3D" w:rsidP="00DB4C44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="00DE761B" w:rsidRPr="00DE761B">
              <w:rPr>
                <w:color w:val="000000" w:themeColor="text1"/>
              </w:rPr>
              <w:t>esozemědělské</w:t>
            </w:r>
            <w:proofErr w:type="spellEnd"/>
            <w:r w:rsidR="00DE761B" w:rsidRPr="00DE761B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422B3D" w:rsidP="00DB4C44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Okrsek protáhlého tvaru, sledující severovýchodní úbočí pásma Jestřebích hor, je v příčném směru traktován dvojicí údolí: severnějším je údolí Bysterského potoka, klesající s terénem od </w:t>
            </w:r>
            <w:proofErr w:type="spellStart"/>
            <w:r w:rsidRPr="00422B3D">
              <w:rPr>
                <w:color w:val="000000" w:themeColor="text1"/>
              </w:rPr>
              <w:t>Chlívců</w:t>
            </w:r>
            <w:proofErr w:type="spellEnd"/>
            <w:r w:rsidRPr="00422B3D">
              <w:rPr>
                <w:color w:val="000000" w:themeColor="text1"/>
              </w:rPr>
              <w:t xml:space="preserve"> přes Bystré až po „horský průsmyk“ před Stárkovem; jižnějším je údolí Rokytenky, která s řídkou doprovodnou zástavbou Rokytníku klesá k soutoku se stejnojmenným potokem na území Velkého Dřevíče nedaleko od místa, kde se vlévá do Dřevíče těsně před jeho soutokem s Metují (jižněji v Hronově).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422B3D" w:rsidP="00650D28">
            <w:pPr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Stárkov (41 ha), </w:t>
            </w:r>
            <w:proofErr w:type="spellStart"/>
            <w:r w:rsidRPr="00422B3D">
              <w:rPr>
                <w:color w:val="000000" w:themeColor="text1"/>
              </w:rPr>
              <w:t>Chlívce</w:t>
            </w:r>
            <w:proofErr w:type="spellEnd"/>
            <w:r w:rsidRPr="00422B3D">
              <w:rPr>
                <w:color w:val="000000" w:themeColor="text1"/>
              </w:rPr>
              <w:t xml:space="preserve"> (228 ha), Velký Dřevíč (162 ha), Rokytník (306 ha), Horní Dřevíč (18 ha), Bystré u Stárkova (24 ha)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422B3D" w:rsidP="00650D28">
            <w:pPr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ÚP Stárkov 2015, UPM Hronov 2005, změna č. 1 ÚPM Hronov 2012</w:t>
            </w:r>
          </w:p>
        </w:tc>
      </w:tr>
      <w:tr w:rsidR="008504A8" w:rsidTr="00DB4C4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blBorders>
        </w:tblPrEx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422B3D" w:rsidP="00DE761B">
            <w:pPr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 rámci okrsku nebyly zpracovány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422B3D" w:rsidP="00872EF6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Sídla protáhlého podhorského charakteru podél vodotečí Bysterský potok, Rokytník a </w:t>
            </w:r>
            <w:proofErr w:type="spellStart"/>
            <w:r w:rsidRPr="00422B3D">
              <w:rPr>
                <w:color w:val="000000" w:themeColor="text1"/>
              </w:rPr>
              <w:t>Rokytěnka</w:t>
            </w:r>
            <w:proofErr w:type="spellEnd"/>
            <w:r w:rsidRPr="00422B3D">
              <w:rPr>
                <w:color w:val="000000" w:themeColor="text1"/>
              </w:rPr>
              <w:t>, rozptýlená zástavba jen v lokalitě Záda, Pustin a Jiráskovy chaty. Nesouvislé drobnější rozvojové plochy doplňují okraje sídel, nepředstavují výrazná ohrožení ve vztahu sídlo – krajina.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422B3D" w:rsidP="00872EF6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Nové rozptýlené rozvoje ve využití BV (Rokytník, </w:t>
            </w:r>
            <w:proofErr w:type="spellStart"/>
            <w:r w:rsidRPr="00422B3D">
              <w:rPr>
                <w:color w:val="000000" w:themeColor="text1"/>
              </w:rPr>
              <w:t>Chlívce</w:t>
            </w:r>
            <w:proofErr w:type="spellEnd"/>
            <w:r w:rsidRPr="00422B3D">
              <w:rPr>
                <w:color w:val="000000" w:themeColor="text1"/>
              </w:rPr>
              <w:t>, Bystré), zahrádkářské osady (Velký Dřevíč), ale i výroba a zemědělství VZ (Bystré). Nejvyšší ohrožení krajinného rázu lze identifikovat v rozvoji podnikatelských aktivit na Bystré. Vybaveností spáduje do obcí s rozšířenou působností, proto je zde často nezřetelné jak vybavení, tak i centrum.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421161" w:rsidP="00DE761B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Doporučuje se s</w:t>
            </w:r>
            <w:r w:rsidR="00422B3D" w:rsidRPr="00422B3D">
              <w:rPr>
                <w:color w:val="000000" w:themeColor="text1"/>
              </w:rPr>
              <w:t>tabilizace podmínek pro turismus (řada turistických tras existujících) i možností pro lyžování (</w:t>
            </w:r>
            <w:proofErr w:type="spellStart"/>
            <w:r w:rsidR="00422B3D" w:rsidRPr="00422B3D">
              <w:rPr>
                <w:color w:val="000000" w:themeColor="text1"/>
              </w:rPr>
              <w:t>Chlívce</w:t>
            </w:r>
            <w:proofErr w:type="spellEnd"/>
            <w:r w:rsidR="00422B3D" w:rsidRPr="00422B3D">
              <w:rPr>
                <w:color w:val="000000" w:themeColor="text1"/>
              </w:rPr>
              <w:t>)</w:t>
            </w:r>
            <w:r>
              <w:rPr>
                <w:color w:val="000000" w:themeColor="text1"/>
              </w:rPr>
              <w:t>. Obecně</w:t>
            </w:r>
            <w:r w:rsidR="00422B3D" w:rsidRPr="00422B3D">
              <w:rPr>
                <w:color w:val="000000" w:themeColor="text1"/>
              </w:rPr>
              <w:t xml:space="preserve"> spíše jen zlepšovat doprovodné podmínky.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EVL Metuje a Dřevíč- vymezena podle toku Jívky jako přítoku Dřevíče; postupovat dle SDO a plánu péče CHKO.</w:t>
            </w:r>
          </w:p>
          <w:p w:rsidR="008504A8" w:rsidRPr="00110F9F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Památný strom - Obecní lípa; zajistit ochranu nezastavitelnosti v rámci ochranného pásma.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Za pozornost stojí zejm. rekreační osada </w:t>
            </w:r>
            <w:proofErr w:type="spellStart"/>
            <w:r w:rsidRPr="00422B3D">
              <w:rPr>
                <w:color w:val="000000" w:themeColor="text1"/>
              </w:rPr>
              <w:t>Chlívce</w:t>
            </w:r>
            <w:proofErr w:type="spellEnd"/>
            <w:r w:rsidRPr="00422B3D">
              <w:rPr>
                <w:color w:val="000000" w:themeColor="text1"/>
              </w:rPr>
              <w:t xml:space="preserve"> - Bystré, která byla prohlášena vesnickou památkovou zónou a její stav dokládá oprávněnost podpory stávajícího režimu ochrany. Dále se v zastavěném území vyskytuje několik neregistrovaných památek drobné lidové architektury. Rozlehlejší části nezastavěného území jsou vymezeny jako území potenciálních archeologických nálezů.</w:t>
            </w:r>
          </w:p>
          <w:p w:rsidR="0045433E" w:rsidRPr="00110F9F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Ve východním cípu území, na vyvýšených místech podél horského hřbetu dobíhá z jižního sousedního okrsku dvojřadé pásmo objektů vojenského opevnění typu LO37 a jedna pevnost typu TO.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Zachovat charakter území s harmonickým zapojením zástavby do krajinného rámce. 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Jedná se o území s vysokým stupněm ochrany (II pásmo) krajinného rázu (Vorel et al. 2010): 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 pásmu II je nutno novou výstavbou, přestavbou nebo změnou využití území respektovat existující charakteristické a cenné vizuální vztahy zástavby a krajinného rámce včetně existujícího vztahu zastavěných a nezastavěných ploch. Nová zástavba dotváří urbanistickou strukturu na volných plochách uvnitř zastavěného území mimo lokality s typickými znaky tradiční zástavby a urbanistické struktury.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V pásmu II je možná výstavba na v okrajových částech existující zástavby, zejména v kontextu s existujícími lokalitami novodobé zástavby. Nesmí přitom dojít k negativní </w:t>
            </w:r>
            <w:r w:rsidRPr="00422B3D">
              <w:rPr>
                <w:color w:val="000000" w:themeColor="text1"/>
              </w:rPr>
              <w:lastRenderedPageBreak/>
              <w:t>změně existující siluety zástavby nebo výraznému narušení přechodu zástavby do krajiny.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Nová výstavba nebo změna využití území nesmí výrazněji snížit význam přírodních prvků a struktur krajiny v krajinné scéně.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Při hodnocení vlivu záměrů na krajinný ráz nelze v pásmu II připustit silný zásah do některého z pozitivních znaků jednotlivých charakteristik krajinného rázu, zejména do přírodních a estetických hodnot, do ZCHÚ, kulturních dominant, harmonického měřítka a vztahů.</w:t>
            </w:r>
          </w:p>
          <w:p w:rsidR="0045433E" w:rsidRPr="00110F9F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 pásmu II nelze připustit takové zásahy, které jsou v souhrnu z hlediska míry zásahu do hodnot krajinného rázu na hranici přijatelnosti.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422B3D" w:rsidP="00872EF6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Vytváření územních podmínek (nezastav. území) v rámci vodotečí a jejich okolí. V rámci zastavěných území sídel podél vodních toků počítat s PPO. Rámcově vymezené plochy údolní nivy toku Jívky v ÚPD či podrobnějších plánech zpřesnit a zajistit jejich nezastavitelnost.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Zemědělská půda v okrsku se rozprostírá zhruba na 616 ha, což činí okolo 49 % výměry celého okrsku. U téměř 87 % půdních bloků je evidována kultura trvalý travní porost a u přibližně 13 % je evidována standardní orná půda.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a stavebním řádu a § 4 zákona č. 334/1992 Sb., o ochraně zemědělského půdního fondu. V případě realizace záborů zemědělského 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Lesní porosty tvoří v rámci okrsku méně výrazný podíl výměry kolem 344 ha, což činí přibližně 27 % výměry celého okrsku. Z hlediska kategorizace dominují lesy hospodářské. Z hlediska podrobnějšího popisu lesních ekosystému převažují hospodářské lesy jehličnaté, v menší míře jsou pak zastoupeny bučiny, přírodní křoviny a lužní a mokřadní lesy. Klasifikace dle smíšenosti vykazuje zastoupení jehličnatých lesů přibližně 92 %, smíšené porosty pak mají zastoupení zhruba 6 %. Z hlediska potenciální přirozené vegetace lze v území identifikovat oblast </w:t>
            </w:r>
            <w:proofErr w:type="spellStart"/>
            <w:r w:rsidRPr="00422B3D">
              <w:rPr>
                <w:color w:val="000000" w:themeColor="text1"/>
              </w:rPr>
              <w:t>bikové</w:t>
            </w:r>
            <w:proofErr w:type="spellEnd"/>
            <w:r w:rsidRPr="00422B3D">
              <w:rPr>
                <w:color w:val="000000" w:themeColor="text1"/>
              </w:rPr>
              <w:t xml:space="preserve"> bučiny. Zájmový okrsek se nachází ve čtvrtém – bukovém a pátém – jedlo-bukovém lesním vegetačním stupni.</w:t>
            </w:r>
          </w:p>
          <w:p w:rsidR="0045433E" w:rsidRPr="00110F9F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Jedná se území ekologicky relativně stabilní. Převážná část okrsku mimo zastavěné území sídel spadá do jádrové zóny Biotopu vybraných zvláště chráněných druhů velkých savců. V rámci ÚPD zajistit nezastavitelnost volné krajiny mimo dostavbu stávajících sídel.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Konkrétně územně plánovacími nástroji zamezit rozrůstání sídel z údolních poloh výše do svahů.</w:t>
            </w:r>
          </w:p>
          <w:p w:rsidR="0045433E" w:rsidRPr="00110F9F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Vymezení nezastavitelných ploch krajinné zeleně pro realizaci interakčních prvků ÚSES s ohledem na další krajinotvorné funkce (viz protierozní ochrana a zlepšení vodního režimu).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Default="00422B3D" w:rsidP="00872EF6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V okrsku lze dle ÚAP ORP Náchod identifikovat jednu starou ekologickou zátěž. Jedná se o Bystré – skládka TKO v k. </w:t>
            </w:r>
            <w:proofErr w:type="spellStart"/>
            <w:r w:rsidRPr="00422B3D">
              <w:rPr>
                <w:color w:val="000000" w:themeColor="text1"/>
              </w:rPr>
              <w:t>ú.</w:t>
            </w:r>
            <w:proofErr w:type="spellEnd"/>
            <w:r w:rsidRPr="00422B3D">
              <w:rPr>
                <w:color w:val="000000" w:themeColor="text1"/>
              </w:rPr>
              <w:t xml:space="preserve"> Stárkov. Před vymezením nových funkčních ploch v tomto území je doporučeno výše uvedenou lokalitu konkrétněji prověřit tak, aby nemohlo v rámci nového funkčního využití dojít k nepříznivému ovlivnění životního prostředí nebo lidského zdraví.</w:t>
            </w:r>
          </w:p>
          <w:p w:rsidR="00421161" w:rsidRPr="00110F9F" w:rsidRDefault="00421161" w:rsidP="00421161">
            <w:pPr>
              <w:jc w:val="both"/>
              <w:rPr>
                <w:color w:val="000000" w:themeColor="text1"/>
              </w:rPr>
            </w:pPr>
            <w:r w:rsidRPr="00421161">
              <w:rPr>
                <w:color w:val="000000" w:themeColor="text1"/>
              </w:rPr>
              <w:t>Brownfieldem evidován</w:t>
            </w:r>
            <w:r>
              <w:rPr>
                <w:color w:val="000000" w:themeColor="text1"/>
              </w:rPr>
              <w:t>a</w:t>
            </w:r>
            <w:r w:rsidRPr="00421161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Wolfova vila – vzhledem</w:t>
            </w:r>
            <w:r w:rsidRPr="00421161">
              <w:rPr>
                <w:color w:val="000000" w:themeColor="text1"/>
              </w:rPr>
              <w:t xml:space="preserve"> k estetické hodnotě se pokusit </w:t>
            </w:r>
            <w:r>
              <w:rPr>
                <w:color w:val="000000" w:themeColor="text1"/>
              </w:rPr>
              <w:t xml:space="preserve">objekt </w:t>
            </w:r>
            <w:r w:rsidRPr="00421161">
              <w:rPr>
                <w:color w:val="000000" w:themeColor="text1"/>
              </w:rPr>
              <w:t>zachovat</w:t>
            </w:r>
            <w:r>
              <w:rPr>
                <w:color w:val="000000" w:themeColor="text1"/>
              </w:rPr>
              <w:t xml:space="preserve"> a</w:t>
            </w:r>
            <w:r w:rsidRPr="00421161">
              <w:rPr>
                <w:color w:val="000000" w:themeColor="text1"/>
              </w:rPr>
              <w:t xml:space="preserve"> najít např. rekreační využití</w:t>
            </w:r>
            <w:r>
              <w:rPr>
                <w:color w:val="000000" w:themeColor="text1"/>
              </w:rPr>
              <w:t xml:space="preserve"> (hotel, restaurace atp.)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V rámci ÚSK byla podél toku Jívky rámcově vymezena údolní niva. Údolní nivu je nutné respektovat jako významnou plochu pro rozliv vod při povodňových stavech a jako lokalitu s významným biologickým a ekostabilizačním potenciálem. 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Zajistit ochranu fungující retence v nivě Jívky i Bysterského potoka, </w:t>
            </w:r>
            <w:proofErr w:type="spellStart"/>
            <w:r w:rsidRPr="00422B3D">
              <w:rPr>
                <w:color w:val="000000" w:themeColor="text1"/>
              </w:rPr>
              <w:t>Rokyténky</w:t>
            </w:r>
            <w:proofErr w:type="spellEnd"/>
            <w:r w:rsidRPr="00422B3D">
              <w:rPr>
                <w:color w:val="000000" w:themeColor="text1"/>
              </w:rPr>
              <w:t xml:space="preserve"> a Dřevíče mimo zastavěné území a dále podpořit PBPO snížením kapacity koryta revitalizací a formou zvýšení kapacity rozlivů do údolní nivy, které se podílí na transformaci povodňových průtoků.</w:t>
            </w:r>
          </w:p>
          <w:p w:rsidR="0045433E" w:rsidRPr="00E04F2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 rámci intravilánu sídel (Rokytník, Velký Dřevíč) vhodně kombinovat opatření PBPO (složený profil se stěhovavou kynetou - revitalizovaným korytem) + technická PPO.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422B3D" w:rsidRPr="00422B3D" w:rsidRDefault="00422B3D" w:rsidP="00422B3D">
            <w:pPr>
              <w:jc w:val="both"/>
            </w:pPr>
            <w:r w:rsidRPr="00422B3D">
              <w:t xml:space="preserve">Na základě výsledků analytické části týkající se zemědělského půdního fondu v zájmovém okrsku lze konstatovat, že lze u části pozemků v tomto okrsku identifikovat zvýšené ohrožení vodní erozí. </w:t>
            </w:r>
            <w:r w:rsidRPr="00422B3D">
              <w:br/>
              <w:t xml:space="preserve">U těchto pozemků je doporučeno klást důraz na dodržování pravidel protierozní ochrany, především z hlediska organizačních a agrotechnických protierozních opatření. </w:t>
            </w:r>
          </w:p>
          <w:p w:rsidR="00422B3D" w:rsidRPr="00422B3D" w:rsidRDefault="00422B3D" w:rsidP="00422B3D">
            <w:pPr>
              <w:jc w:val="both"/>
            </w:pPr>
            <w:r w:rsidRPr="00422B3D">
              <w:t xml:space="preserve">Většina plochy okrsku se nachází ve III. zóně CHKO Broumovsko. Hospodaření v okrsku je tedy nutno podřídit požadavkům ochrany přírody a krajiny. Požadavky pro hospodaření v CHKO Broumovsko </w:t>
            </w:r>
            <w:r w:rsidRPr="00422B3D">
              <w:br/>
              <w:t>s akcentem na protierozní ochranu jsou uvedeny níže:</w:t>
            </w:r>
          </w:p>
          <w:p w:rsidR="00422B3D" w:rsidRPr="00422B3D" w:rsidRDefault="00422B3D" w:rsidP="00422B3D">
            <w:pPr>
              <w:pStyle w:val="Odstavecseseznamem"/>
              <w:numPr>
                <w:ilvl w:val="0"/>
                <w:numId w:val="4"/>
              </w:numPr>
              <w:jc w:val="both"/>
            </w:pPr>
            <w:r w:rsidRPr="00422B3D">
              <w:t>Zachovávat stávající funkci luk a pastvin, jejich přeměna na ornou půdu je možná pouze ve výjimečných případech,</w:t>
            </w:r>
          </w:p>
          <w:p w:rsidR="00422B3D" w:rsidRPr="00422B3D" w:rsidRDefault="00422B3D" w:rsidP="00422B3D">
            <w:pPr>
              <w:pStyle w:val="Odstavecseseznamem"/>
              <w:numPr>
                <w:ilvl w:val="0"/>
                <w:numId w:val="4"/>
              </w:numPr>
              <w:jc w:val="both"/>
            </w:pPr>
            <w:r w:rsidRPr="00422B3D">
              <w:t>pastvu provádět v souladu s ekologickou únosností pozemků, tzn. nepřekračovat výši přípustného stavu zvířat, aby nedocházelo k ohrožení pozemků erozí,</w:t>
            </w:r>
          </w:p>
          <w:p w:rsidR="00422B3D" w:rsidRPr="00422B3D" w:rsidRDefault="00422B3D" w:rsidP="00422B3D">
            <w:pPr>
              <w:pStyle w:val="Odstavecseseznamem"/>
              <w:numPr>
                <w:ilvl w:val="0"/>
                <w:numId w:val="4"/>
              </w:numPr>
              <w:jc w:val="both"/>
            </w:pPr>
            <w:r w:rsidRPr="00422B3D">
              <w:t xml:space="preserve">diverzifikovat biotopy v krajině, zejména zachovat křovinné biotopy, remízy, lesní lemy, meze, </w:t>
            </w:r>
          </w:p>
          <w:p w:rsidR="00422B3D" w:rsidRPr="00422B3D" w:rsidRDefault="00422B3D" w:rsidP="00422B3D">
            <w:pPr>
              <w:pStyle w:val="Odstavecseseznamem"/>
              <w:numPr>
                <w:ilvl w:val="0"/>
                <w:numId w:val="4"/>
              </w:numPr>
              <w:jc w:val="both"/>
            </w:pPr>
            <w:r w:rsidRPr="00422B3D">
              <w:t>podél vodních toků zachovat pruh TTP minimálně v šířce 5–10 m podle erozního ohrožení</w:t>
            </w:r>
            <w:r w:rsidR="00421161">
              <w:t>, resp. v celé šíři funkční nivy nebo prvku ÚSES.</w:t>
            </w:r>
          </w:p>
          <w:p w:rsidR="0045433E" w:rsidRPr="00422B3D" w:rsidRDefault="00422B3D" w:rsidP="00422B3D">
            <w:pPr>
              <w:jc w:val="both"/>
            </w:pPr>
            <w:r w:rsidRPr="00422B3D">
              <w:t>Z hlediska požadavků na realizaci podrobnějších protierozních opatření byla v rámci okrsku identifikována řada půdních bloků, u kterých je doporučeno provést zatravnění nebo technické protierozní opatření. Tyto půdní bloky jsou zřejmé z mapových příloh územní studie krajiny.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Vzhledem ke skutečnosti, že dominantní část okrsku zasahuje do III. zóny CHKO Broumovsko a část lesních porostů v lesním okrsku se nachází ve I. zóně CHKO Broumovsko, je nutno podřídit hospodaření v lesních porostech požadavkům ochrany přírody a krajiny. Požadavky na hospodaření v jednotlivých zónách jsou uvedeny v bodech níže: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lastRenderedPageBreak/>
              <w:t>Lesy v I. zóně budou plnit převážně mimoprodukční funkce. V I. zóně budou cíleně pěstovány porosty stanovištně původních dřevin (v závislosti na stanovištích zejména listnáče, jedle, ale na stanovištích jejich přirozeného výskytu i borovice lesní a smrk ztepilý). Geograficky nepůvodní druhy se prakticky nebudou vyskytovat, s výjimkou modřínu opadavého se s jejich dalším využitím neuvažuje. Lesní porosty budou smíšené (jednotlivě nebo skupinově), druhově, věkově a prostorově diferencované, s vysokou ekologickou stabilitou. Při obnově lesních porostů se bude maximálně využívat přirozená obnova stanovištně původních dřevin, ve vhodných podmínkách budou při obnově využívány výběrné principy. V lesích bude běžně zůstávat část odumřelého dřeva různých dimenzí pro udržení biodiverzity. Dřeviny a jejich zastoupení budou při umělé obnově voleny podle přirozených dřevinných skladeb. V části I. zóny (vybrané části NPR) budou lesy ponechány samovolnému vývoji včetně neprovádění nahodilých těžeb a výsadeb dřevin.</w:t>
            </w:r>
          </w:p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Z hlediska těžebně-dopravních technologií nebyly v rámci okrsku identifikovány významnější plochy, ve kterých by bylo nutno aplikovat specifické těžebně-dopravní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22B3D" w:rsidRPr="00422B3D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 xml:space="preserve">Stávající aleje a stromořadí doprovázející polní cesty udržovat a dosazovat. V lokalitě je celá řada míst pro novou výsadbu (tvorbu mezí) na pomezí půdních bloků a podél stávajících i historických polních cest (např. jako interakční prvky ÚSES). V polích a loukách nad Bystrým obnovit stromořadí (meze) podél tradičních cest již skoro setřené </w:t>
            </w:r>
            <w:proofErr w:type="spellStart"/>
            <w:r w:rsidRPr="00422B3D">
              <w:rPr>
                <w:color w:val="000000" w:themeColor="text1"/>
              </w:rPr>
              <w:t>plužiny</w:t>
            </w:r>
            <w:proofErr w:type="spellEnd"/>
            <w:r w:rsidRPr="00422B3D">
              <w:rPr>
                <w:color w:val="000000" w:themeColor="text1"/>
              </w:rPr>
              <w:t xml:space="preserve"> záhumeních lánů.</w:t>
            </w:r>
          </w:p>
          <w:p w:rsidR="0045433E" w:rsidRPr="00110F9F" w:rsidRDefault="00422B3D" w:rsidP="00422B3D">
            <w:pPr>
              <w:jc w:val="both"/>
              <w:rPr>
                <w:color w:val="000000" w:themeColor="text1"/>
              </w:rPr>
            </w:pPr>
            <w:r w:rsidRPr="00422B3D">
              <w:rPr>
                <w:color w:val="000000" w:themeColor="text1"/>
              </w:rPr>
              <w:t>V rámci údolní nivy Jívky extenzivně obhospodařovat luční porosty sečí, případně kombinovat s pastvou. V rámci údolní nivy je možné vytvořit i lokální mělké nezastíněné tůně, pro podporu biodiverzity a jako biotopy ohrožených druhů obojživelníků, hmyzu atp.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45433E" w:rsidRPr="00110F9F" w:rsidRDefault="001F6699" w:rsidP="001F6699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>
              <w:rPr>
                <w:color w:val="000000" w:themeColor="text1"/>
              </w:rPr>
              <w:t xml:space="preserve"> </w:t>
            </w:r>
            <w:r w:rsidR="00422B3D">
              <w:t xml:space="preserve"> </w:t>
            </w:r>
            <w:r w:rsidR="00422B3D" w:rsidRPr="00422B3D">
              <w:rPr>
                <w:color w:val="000000" w:themeColor="text1"/>
              </w:rPr>
              <w:t>Prostupnost krajiny na dobré úrovni, podíl pastevních oplocení je minimální.</w:t>
            </w:r>
            <w:r w:rsidR="00422B3D">
              <w:rPr>
                <w:color w:val="000000" w:themeColor="text1"/>
              </w:rPr>
              <w:t xml:space="preserve"> </w:t>
            </w:r>
            <w:r w:rsidR="00422B3D" w:rsidRPr="00422B3D">
              <w:rPr>
                <w:color w:val="000000" w:themeColor="text1"/>
              </w:rPr>
              <w:t>Na toku Jívky zachovat stávající stav, kde jsou stávající vodohospodářské objekty samovolně prostupné pro migraci vodní bioty s ohledem na vymezenou EVL pro mihuli říční (</w:t>
            </w:r>
            <w:proofErr w:type="spellStart"/>
            <w:r w:rsidR="00422B3D" w:rsidRPr="00422B3D">
              <w:rPr>
                <w:i/>
                <w:color w:val="000000" w:themeColor="text1"/>
              </w:rPr>
              <w:t>Lampetra</w:t>
            </w:r>
            <w:proofErr w:type="spellEnd"/>
            <w:r w:rsidR="00422B3D" w:rsidRPr="00422B3D">
              <w:rPr>
                <w:i/>
                <w:color w:val="000000" w:themeColor="text1"/>
              </w:rPr>
              <w:t xml:space="preserve"> </w:t>
            </w:r>
            <w:proofErr w:type="spellStart"/>
            <w:r w:rsidR="00422B3D" w:rsidRPr="00422B3D">
              <w:rPr>
                <w:i/>
                <w:color w:val="000000" w:themeColor="text1"/>
              </w:rPr>
              <w:t>planeri</w:t>
            </w:r>
            <w:proofErr w:type="spellEnd"/>
            <w:r w:rsidR="00422B3D" w:rsidRPr="00422B3D">
              <w:rPr>
                <w:color w:val="000000" w:themeColor="text1"/>
              </w:rPr>
              <w:t>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872EF6" w:rsidRPr="00110F9F" w:rsidRDefault="00422B3D" w:rsidP="00580509">
            <w:pPr>
              <w:jc w:val="both"/>
              <w:rPr>
                <w:color w:val="000000" w:themeColor="text1"/>
              </w:rPr>
            </w:pPr>
            <w:r w:rsidRPr="00422B3D">
              <w:t>Staré ekologické zátěže</w:t>
            </w:r>
            <w:r>
              <w:t>: V</w:t>
            </w:r>
            <w:r w:rsidRPr="00422B3D">
              <w:t>zhledem ke skutečnosti, že lokalita s identifikovanou kontaminací nebyla doposud podrobněji hodnocena, je doporučeno se podrobněji zaměřit na její zhodnocení</w:t>
            </w:r>
            <w:r w:rsidR="00857915">
              <w:t xml:space="preserve"> </w:t>
            </w:r>
            <w:r w:rsidR="00857915" w:rsidRPr="00857915">
              <w:t>a sanaci.</w:t>
            </w:r>
          </w:p>
        </w:tc>
      </w:tr>
    </w:tbl>
    <w:p w:rsidR="00857915" w:rsidRDefault="00857915" w:rsidP="00110F9F">
      <w:pPr>
        <w:rPr>
          <w:b/>
          <w:color w:val="FFFFFF" w:themeColor="background1"/>
        </w:rPr>
      </w:pPr>
    </w:p>
    <w:p w:rsidR="00857915" w:rsidRDefault="00857915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89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B0725E" w:rsidP="001F6699">
      <w:r>
        <w:rPr>
          <w:sz w:val="18"/>
        </w:rPr>
        <w:t xml:space="preserve">Osada </w:t>
      </w:r>
      <w:proofErr w:type="spellStart"/>
      <w:r>
        <w:rPr>
          <w:sz w:val="18"/>
        </w:rPr>
        <w:t>Chlívce</w:t>
      </w:r>
      <w:proofErr w:type="spellEnd"/>
    </w:p>
    <w:p w:rsidR="00841774" w:rsidRDefault="00841774" w:rsidP="00857915">
      <w:pPr>
        <w:rPr>
          <w:b/>
          <w:color w:val="FFFFFF" w:themeColor="background1"/>
        </w:rPr>
      </w:pPr>
      <w:r w:rsidRPr="00841774"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085" cy="3000375"/>
            <wp:effectExtent l="19050" t="19050" r="12065" b="28575"/>
            <wp:docPr id="1" name="Obrázek 1" descr="I:\USK\Foto_JCN_24_03_2018\20180324_132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USK\Foto_JCN_24_03_2018\20180324_13265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69" cy="3001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0725E" w:rsidRDefault="00B0725E" w:rsidP="00B0725E">
      <w:r>
        <w:rPr>
          <w:sz w:val="18"/>
        </w:rPr>
        <w:lastRenderedPageBreak/>
        <w:t>Drobná lidová architektura</w:t>
      </w:r>
      <w:bookmarkStart w:id="0" w:name="_GoBack"/>
      <w:bookmarkEnd w:id="0"/>
    </w:p>
    <w:p w:rsidR="00841774" w:rsidRDefault="00841774" w:rsidP="00857915">
      <w:pPr>
        <w:rPr>
          <w:b/>
          <w:color w:val="FFFFFF" w:themeColor="background1"/>
        </w:rPr>
      </w:pPr>
      <w:r w:rsidRPr="00841774"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2593815" cy="4610100"/>
            <wp:effectExtent l="19050" t="19050" r="16510" b="19050"/>
            <wp:docPr id="3" name="Obrázek 3" descr="I:\USK\Foto_JCN_24_03_2018\20180324_132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USK\Foto_JCN_24_03_2018\20180324_13272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214" cy="464280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b/>
          <w:color w:val="FFFFFF" w:themeColor="background1"/>
        </w:rPr>
        <w:t xml:space="preserve">   </w:t>
      </w:r>
      <w:r w:rsidR="00FC5468">
        <w:rPr>
          <w:b/>
          <w:color w:val="FFFFFF" w:themeColor="background1"/>
        </w:rPr>
        <w:t xml:space="preserve">   </w:t>
      </w:r>
      <w:r>
        <w:rPr>
          <w:b/>
          <w:color w:val="FFFFFF" w:themeColor="background1"/>
        </w:rPr>
        <w:t xml:space="preserve">  </w:t>
      </w:r>
      <w:r w:rsidRPr="00841774"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2593815" cy="4610100"/>
            <wp:effectExtent l="19050" t="19050" r="16510" b="19050"/>
            <wp:docPr id="4" name="Obrázek 4" descr="I:\USK\Foto_JCN_24_03_2018\20180324_132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USK\Foto_JCN_24_03_2018\20180324_1322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833" cy="46670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55B27" w:rsidRDefault="00E55B27" w:rsidP="00857915">
      <w:pPr>
        <w:rPr>
          <w:sz w:val="18"/>
        </w:rPr>
      </w:pPr>
      <w:r>
        <w:rPr>
          <w:sz w:val="18"/>
        </w:rPr>
        <w:t xml:space="preserve">Vrch </w:t>
      </w:r>
      <w:proofErr w:type="spellStart"/>
      <w:r>
        <w:rPr>
          <w:sz w:val="18"/>
        </w:rPr>
        <w:t>Turov</w:t>
      </w:r>
      <w:proofErr w:type="spellEnd"/>
    </w:p>
    <w:p w:rsidR="00E55B27" w:rsidRPr="008504A8" w:rsidRDefault="00E55B27" w:rsidP="00857915">
      <w:pPr>
        <w:rPr>
          <w:b/>
          <w:color w:val="FFFFFF" w:themeColor="background1"/>
        </w:rPr>
      </w:pPr>
      <w:r>
        <w:rPr>
          <w:noProof/>
          <w:lang w:eastAsia="cs-CZ"/>
        </w:rPr>
        <w:drawing>
          <wp:inline distT="0" distB="0" distL="0" distR="0" wp14:anchorId="0BF23E2B" wp14:editId="6747AD6B">
            <wp:extent cx="5479415" cy="3562350"/>
            <wp:effectExtent l="19050" t="19050" r="26035" b="19050"/>
            <wp:docPr id="8" name="Obrázek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72" b="352"/>
                    <a:stretch/>
                  </pic:blipFill>
                  <pic:spPr bwMode="auto">
                    <a:xfrm>
                      <a:off x="0" y="0"/>
                      <a:ext cx="5479415" cy="356235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55B27" w:rsidRPr="008504A8" w:rsidSect="00B11E1E"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14E17" w:rsidRDefault="00C14E17" w:rsidP="00225455">
      <w:pPr>
        <w:spacing w:after="0" w:line="240" w:lineRule="auto"/>
      </w:pPr>
      <w:r>
        <w:separator/>
      </w:r>
    </w:p>
  </w:endnote>
  <w:endnote w:type="continuationSeparator" w:id="0">
    <w:p w:rsidR="00C14E17" w:rsidRDefault="00C14E17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B345C">
          <w:rPr>
            <w:noProof/>
          </w:rPr>
          <w:t>6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E55B27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14E17" w:rsidRDefault="00C14E17" w:rsidP="00225455">
      <w:pPr>
        <w:spacing w:after="0" w:line="240" w:lineRule="auto"/>
      </w:pPr>
      <w:r>
        <w:separator/>
      </w:r>
    </w:p>
  </w:footnote>
  <w:footnote w:type="continuationSeparator" w:id="0">
    <w:p w:rsidR="00C14E17" w:rsidRDefault="00C14E17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02258"/>
    <w:multiLevelType w:val="hybridMultilevel"/>
    <w:tmpl w:val="992235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110F9F"/>
    <w:rsid w:val="00167E99"/>
    <w:rsid w:val="001838A2"/>
    <w:rsid w:val="001B77AA"/>
    <w:rsid w:val="001C6A36"/>
    <w:rsid w:val="001D6E12"/>
    <w:rsid w:val="001F31AC"/>
    <w:rsid w:val="001F6699"/>
    <w:rsid w:val="00225455"/>
    <w:rsid w:val="002C3D40"/>
    <w:rsid w:val="002C63E1"/>
    <w:rsid w:val="00314937"/>
    <w:rsid w:val="004010D2"/>
    <w:rsid w:val="00421161"/>
    <w:rsid w:val="00422B3D"/>
    <w:rsid w:val="00424EE5"/>
    <w:rsid w:val="0045433E"/>
    <w:rsid w:val="00454853"/>
    <w:rsid w:val="00467B9F"/>
    <w:rsid w:val="00567DCD"/>
    <w:rsid w:val="00571312"/>
    <w:rsid w:val="00580509"/>
    <w:rsid w:val="00643A91"/>
    <w:rsid w:val="006B1400"/>
    <w:rsid w:val="007E3AD3"/>
    <w:rsid w:val="00841774"/>
    <w:rsid w:val="008504A8"/>
    <w:rsid w:val="00857915"/>
    <w:rsid w:val="00872EF6"/>
    <w:rsid w:val="008962D5"/>
    <w:rsid w:val="008A1279"/>
    <w:rsid w:val="008A6C49"/>
    <w:rsid w:val="008F5703"/>
    <w:rsid w:val="00925AC8"/>
    <w:rsid w:val="009C2DF7"/>
    <w:rsid w:val="00A34F2D"/>
    <w:rsid w:val="00A7327C"/>
    <w:rsid w:val="00AE4076"/>
    <w:rsid w:val="00B0725E"/>
    <w:rsid w:val="00B11E1E"/>
    <w:rsid w:val="00B77AAC"/>
    <w:rsid w:val="00BB33AE"/>
    <w:rsid w:val="00BB345C"/>
    <w:rsid w:val="00BC7F33"/>
    <w:rsid w:val="00C14E17"/>
    <w:rsid w:val="00C679C3"/>
    <w:rsid w:val="00CB0303"/>
    <w:rsid w:val="00D30FEA"/>
    <w:rsid w:val="00D93429"/>
    <w:rsid w:val="00DB4C44"/>
    <w:rsid w:val="00DE761B"/>
    <w:rsid w:val="00DF356E"/>
    <w:rsid w:val="00E04F2D"/>
    <w:rsid w:val="00E4044E"/>
    <w:rsid w:val="00E55B27"/>
    <w:rsid w:val="00E81D5A"/>
    <w:rsid w:val="00EB24B2"/>
    <w:rsid w:val="00EE65C2"/>
    <w:rsid w:val="00F11620"/>
    <w:rsid w:val="00F82B90"/>
    <w:rsid w:val="00FC5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85BD478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4983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A21680-41E6-4B1C-8BEA-989461FC23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7</Pages>
  <Words>1917</Words>
  <Characters>11312</Characters>
  <Application>Microsoft Office Word</Application>
  <DocSecurity>0</DocSecurity>
  <Lines>94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11</cp:revision>
  <dcterms:created xsi:type="dcterms:W3CDTF">2019-06-17T14:34:00Z</dcterms:created>
  <dcterms:modified xsi:type="dcterms:W3CDTF">2019-06-25T19:55:00Z</dcterms:modified>
</cp:coreProperties>
</file>